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FA0F66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ΚΔΒΜ,</w:t>
      </w:r>
      <w:r w:rsid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F81BA5">
        <w:rPr>
          <w:rFonts w:asciiTheme="minorHAnsi" w:hAnsiTheme="minorHAnsi"/>
          <w:color w:val="262626" w:themeColor="text1" w:themeTint="D9"/>
          <w:sz w:val="24"/>
          <w:szCs w:val="24"/>
        </w:rPr>
        <w:t>Μάιος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F81BA5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1152C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Κασσάνδρας </w:t>
      </w:r>
      <w:bookmarkStart w:id="0" w:name="_GoBack"/>
      <w:bookmarkEnd w:id="0"/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1152C2">
        <w:rPr>
          <w:rFonts w:asciiTheme="minorHAnsi" w:hAnsiTheme="minorHAnsi" w:cs="Calibri"/>
          <w:sz w:val="24"/>
        </w:rPr>
        <w:t xml:space="preserve"> Δήμος Κασσάνδρας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1152C2">
        <w:rPr>
          <w:rFonts w:asciiTheme="minorHAnsi" w:hAnsiTheme="minorHAnsi" w:cs="Calibri"/>
          <w:sz w:val="24"/>
        </w:rPr>
        <w:t>Κασσάνδρας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761212">
        <w:rPr>
          <w:rFonts w:asciiTheme="minorHAnsi" w:hAnsiTheme="minorHAnsi" w:cs="Calibri"/>
          <w:sz w:val="24"/>
        </w:rPr>
        <w:t xml:space="preserve"> Κασσάνδρας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4A5468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:rsidR="00007C8A" w:rsidRPr="002947EF" w:rsidRDefault="00007C8A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636"/>
        <w:gridCol w:w="1211"/>
        <w:gridCol w:w="2213"/>
        <w:gridCol w:w="2213"/>
      </w:tblGrid>
      <w:tr w:rsidR="002947EF" w:rsidRPr="00626791" w:rsidTr="004A5468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137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58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:rsidTr="004A5468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37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8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Pr="005E13B7" w:rsidRDefault="00007C8A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Ιταλικά για τον Τουρισμό (Α1-Α2)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5E13B7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Pr="005E13B7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5E13B7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Pr="005E13B7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Εργαστήρι δημιουργίας κοσμήματος</w:t>
            </w:r>
            <w:r w:rsidRPr="005E13B7"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5E13B7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007C8A" w:rsidRPr="005E13B7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5E13B7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5E13B7"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Default="005E380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 w:rsidRPr="005E13B7">
              <w:rPr>
                <w:rFonts w:ascii="Calibri" w:hAnsi="Calibri" w:cs="Calibri"/>
                <w:i/>
                <w:sz w:val="18"/>
                <w:szCs w:val="18"/>
              </w:rPr>
              <w:t>Οι ανωτέρω τίτλοι παρατίθενται ως παράδειγμα</w:t>
            </w:r>
            <w:r w:rsidR="004A5468" w:rsidRPr="004A546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4A5468">
              <w:rPr>
                <w:rFonts w:ascii="Calibri" w:hAnsi="Calibri" w:cs="Calibri"/>
                <w:i/>
                <w:sz w:val="18"/>
                <w:szCs w:val="18"/>
              </w:rPr>
              <w:t xml:space="preserve">Αναλυτικά </w:t>
            </w:r>
          </w:p>
          <w:p w:rsidR="004A5468" w:rsidRDefault="004A5468" w:rsidP="004A5468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τα θέματα που μπορούν να αναπτυχθούν διαδικτυακά </w:t>
            </w:r>
          </w:p>
          <w:p w:rsidR="004A5468" w:rsidRPr="004A5468" w:rsidRDefault="004A5468" w:rsidP="004A5468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αναγράφονται στο συνημμένο πίνακα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007C8A" w:rsidRPr="00626791" w:rsidTr="004A5468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07C8A" w:rsidRPr="00CD66E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:rsidR="002947EF" w:rsidRPr="00007C8A" w:rsidRDefault="00007C8A" w:rsidP="00F14D1F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Σε περιπτώσεις αναστολής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της δια ζώσης εκπαίδευσης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λόγω περιοριστικών μέτρων</w:t>
      </w:r>
      <w:r w:rsidR="004A5468" w:rsidRPr="004A5468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BC20A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για την αντιμετώπιση της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πανδημίας </w:t>
      </w:r>
      <w:proofErr w:type="spellStart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val="en-US" w:eastAsia="el-GR"/>
        </w:rPr>
        <w:t>covid</w:t>
      </w:r>
      <w:proofErr w:type="spellEnd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-19, τα τμήματα μάθησης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θα υλοποιούνται</w:t>
      </w:r>
      <w:r w:rsidR="004E78F5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μόνο μέσω </w:t>
      </w:r>
      <w:proofErr w:type="spellStart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τηλε</w:t>
      </w:r>
      <w:proofErr w:type="spellEnd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-εκπαίδευσης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(εξ αποστάσεως παρακολούθηση).</w:t>
      </w:r>
    </w:p>
    <w:p w:rsidR="0089487C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E78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4E78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D1CB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2374350150</w:t>
      </w:r>
    </w:p>
    <w:p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5D1CB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Δημαρχείο Κασσάνδρας Χαλκιδικής ΤΚ 63077</w:t>
      </w:r>
    </w:p>
    <w:p w:rsidR="0089487C" w:rsidRPr="00EC0A43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EC0A4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hyperlink r:id="rId7" w:history="1">
        <w:r w:rsidR="00EC0A43" w:rsidRPr="002473B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ffotop@yahoo.gr</w:t>
        </w:r>
      </w:hyperlink>
      <w:r w:rsidR="00EC0A4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 , </w:t>
      </w:r>
      <w:hyperlink r:id="rId8" w:history="1">
        <w:r w:rsidR="00EC0A43" w:rsidRPr="002473B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kedik@otenet.gr</w:t>
        </w:r>
      </w:hyperlink>
      <w:r w:rsidR="00D43A97" w:rsidRPr="00EC0A4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:rsidR="00A54358" w:rsidRDefault="0089487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:rsidR="005E380C" w:rsidRPr="00D6658D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F14D1F">
      <w:headerReference w:type="default" r:id="rId9"/>
      <w:footerReference w:type="default" r:id="rId10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E0" w:rsidRDefault="00F970E0" w:rsidP="000C55D3">
      <w:pPr>
        <w:spacing w:line="240" w:lineRule="auto"/>
      </w:pPr>
      <w:r>
        <w:separator/>
      </w:r>
    </w:p>
  </w:endnote>
  <w:endnote w:type="continuationSeparator" w:id="1">
    <w:p w:rsidR="00F970E0" w:rsidRDefault="00F970E0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E0" w:rsidRDefault="00F970E0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pict>
        <v:group id="Ομάδα 7" o:spid="_x0000_s4097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099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E0" w:rsidRDefault="00F970E0" w:rsidP="000C55D3">
      <w:pPr>
        <w:spacing w:line="240" w:lineRule="auto"/>
      </w:pPr>
      <w:r>
        <w:separator/>
      </w:r>
    </w:p>
  </w:footnote>
  <w:footnote w:type="continuationSeparator" w:id="1">
    <w:p w:rsidR="00F970E0" w:rsidRDefault="00F970E0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E0" w:rsidRPr="000C55D3" w:rsidRDefault="00F970E0" w:rsidP="008843F7">
    <w:pPr>
      <w:pStyle w:val="a5"/>
      <w:tabs>
        <w:tab w:val="clear" w:pos="8306"/>
      </w:tabs>
      <w:ind w:right="-142"/>
      <w:rPr>
        <w:b/>
      </w:rPr>
    </w:pPr>
    <w:r w:rsidRPr="007C3A0B">
      <w:rPr>
        <w:noProof/>
        <w:lang w:eastAsia="el-GR"/>
      </w:rPr>
      <w:pict>
        <v:rect id="Ορθογώνιο 3" o:spid="_x0000_s4101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:rsidR="00F970E0" w:rsidRPr="00F970E0" w:rsidRDefault="00F970E0" w:rsidP="00F970E0"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177528" cy="753618"/>
                      <wp:effectExtent l="19050" t="0" r="3572" b="0"/>
                      <wp:docPr id="4" name="Εικόνα 4" descr="Δήμος Κασσάνδρας Archives | Dimos-news.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Δήμος Κασσάνδρας Archives | Dimos-news.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945" cy="756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0E0" w:rsidRPr="003C527E" w:rsidRDefault="00F970E0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F970E0" w:rsidRPr="0086579D" w:rsidRDefault="00F970E0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F970E0" w:rsidRPr="0086579D" w:rsidRDefault="00F970E0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  <w:r>
      <w:rPr>
        <w:rFonts w:asciiTheme="minorHAnsi" w:hAnsiTheme="minorHAnsi"/>
        <w:b/>
        <w:sz w:val="19"/>
        <w:szCs w:val="19"/>
      </w:rPr>
      <w:t>,</w:t>
    </w:r>
  </w:p>
  <w:p w:rsidR="00F970E0" w:rsidRDefault="00F970E0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ΚΑΤΑΡΤΙΣΗΣ, ΔΙΑ ΒΙΟΥ ΜΑΘΗΣΗΣ ΚΑΙ ΝΕΟΛΑΙΑΣ</w:t>
    </w:r>
  </w:p>
  <w:p w:rsidR="00F970E0" w:rsidRPr="005D21C5" w:rsidRDefault="00F970E0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424F0"/>
    <w:rsid w:val="000438E3"/>
    <w:rsid w:val="00083938"/>
    <w:rsid w:val="000C55D3"/>
    <w:rsid w:val="000F43EF"/>
    <w:rsid w:val="001036EA"/>
    <w:rsid w:val="00113A56"/>
    <w:rsid w:val="001151DB"/>
    <w:rsid w:val="001152C2"/>
    <w:rsid w:val="00116ABF"/>
    <w:rsid w:val="00131A80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A5468"/>
    <w:rsid w:val="004C5924"/>
    <w:rsid w:val="004E3B5A"/>
    <w:rsid w:val="004E78F5"/>
    <w:rsid w:val="00500635"/>
    <w:rsid w:val="005260F1"/>
    <w:rsid w:val="005D1CB7"/>
    <w:rsid w:val="005D21C5"/>
    <w:rsid w:val="005E13B7"/>
    <w:rsid w:val="005E380C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453E9"/>
    <w:rsid w:val="007578D6"/>
    <w:rsid w:val="00761212"/>
    <w:rsid w:val="00767BE2"/>
    <w:rsid w:val="00776846"/>
    <w:rsid w:val="00780061"/>
    <w:rsid w:val="007C3A0B"/>
    <w:rsid w:val="007F03CF"/>
    <w:rsid w:val="007F12D8"/>
    <w:rsid w:val="00817803"/>
    <w:rsid w:val="008631A9"/>
    <w:rsid w:val="0086579D"/>
    <w:rsid w:val="008843F7"/>
    <w:rsid w:val="0089487C"/>
    <w:rsid w:val="008B137B"/>
    <w:rsid w:val="008B7AE5"/>
    <w:rsid w:val="009233D6"/>
    <w:rsid w:val="00954EC5"/>
    <w:rsid w:val="0097070F"/>
    <w:rsid w:val="009771AC"/>
    <w:rsid w:val="009A5174"/>
    <w:rsid w:val="009C26B8"/>
    <w:rsid w:val="00A26F38"/>
    <w:rsid w:val="00A47EAB"/>
    <w:rsid w:val="00A54358"/>
    <w:rsid w:val="00AB4B04"/>
    <w:rsid w:val="00AD4ED6"/>
    <w:rsid w:val="00B8724E"/>
    <w:rsid w:val="00BC20AF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20CA4"/>
    <w:rsid w:val="00D43A97"/>
    <w:rsid w:val="00D6658D"/>
    <w:rsid w:val="00DB28BF"/>
    <w:rsid w:val="00DE6B85"/>
    <w:rsid w:val="00E03895"/>
    <w:rsid w:val="00E10028"/>
    <w:rsid w:val="00EB164A"/>
    <w:rsid w:val="00EC0A43"/>
    <w:rsid w:val="00ED5682"/>
    <w:rsid w:val="00F03C3A"/>
    <w:rsid w:val="00F14D1F"/>
    <w:rsid w:val="00F236A7"/>
    <w:rsid w:val="00F43B6F"/>
    <w:rsid w:val="00F63682"/>
    <w:rsid w:val="00F66CF4"/>
    <w:rsid w:val="00F81BA5"/>
    <w:rsid w:val="00F95180"/>
    <w:rsid w:val="00F970E0"/>
    <w:rsid w:val="00FA0F66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EC0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ik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otop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fotis</cp:lastModifiedBy>
  <cp:revision>14</cp:revision>
  <cp:lastPrinted>2021-04-23T15:15:00Z</cp:lastPrinted>
  <dcterms:created xsi:type="dcterms:W3CDTF">2021-04-23T08:17:00Z</dcterms:created>
  <dcterms:modified xsi:type="dcterms:W3CDTF">2021-05-07T06:46:00Z</dcterms:modified>
</cp:coreProperties>
</file>